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10"/>
      </w:tblGrid>
      <w:tr w:rsidR="000560C3">
        <w:trPr>
          <w:trHeight w:val="2061"/>
        </w:trPr>
        <w:tc>
          <w:tcPr>
            <w:tcW w:w="3510" w:type="dxa"/>
          </w:tcPr>
          <w:p w:rsidR="000560C3" w:rsidRDefault="00607338" w:rsidP="00607338">
            <w:pPr>
              <w:jc w:val="both"/>
            </w:pPr>
            <w:r>
              <w:rPr>
                <w:noProof/>
              </w:rPr>
              <w:drawing>
                <wp:inline distT="0" distB="0" distL="0" distR="0">
                  <wp:extent cx="1818640" cy="1198880"/>
                  <wp:effectExtent l="19050" t="0" r="0" b="0"/>
                  <wp:docPr id="3" name="Picture 1" descr="http://portal/ResCentre/RegTemp/Documents/2013%20Logo%20Files%20Southern%20Health-Santé%20Sud/JPG/JPG%20BLK%20HighRes%20Sh-S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portal/ResCentre/RegTemp/Documents/2013%20Logo%20Files%20Southern%20Health-Santé%20Sud/JPG/JPG%20BLK%20HighRes%20Sh-S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8640" cy="1198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D4F16">
              <w:rPr>
                <w:noProof/>
              </w:rPr>
              <w:pict>
                <v:roundrect id="_x0000_s1026" style="position:absolute;left:0;text-align:left;margin-left:195.25pt;margin-top:-13.55pt;width:272.75pt;height:129.55pt;z-index:251657216;mso-position-horizontal-relative:text;mso-position-vertical-relative:margin" arcsize="10923f" o:allowincell="f" stroked="f" strokeweight="6pt">
                  <v:textbox style="mso-next-textbox:#_x0000_s1026" inset="0,0,0,0">
                    <w:txbxContent>
                      <w:p w:rsidR="00264BFA" w:rsidRPr="00C44DC4" w:rsidRDefault="00264BFA" w:rsidP="00C44DC4">
                        <w:pPr>
                          <w:pBdr>
                            <w:top w:val="single" w:sz="18" w:space="10" w:color="auto"/>
                            <w:left w:val="single" w:sz="18" w:space="1" w:color="auto"/>
                            <w:bottom w:val="single" w:sz="18" w:space="1" w:color="auto"/>
                            <w:right w:val="single" w:sz="18" w:space="1" w:color="auto"/>
                          </w:pBdr>
                          <w:tabs>
                            <w:tab w:val="left" w:pos="2880"/>
                          </w:tabs>
                          <w:rPr>
                            <w:rFonts w:ascii="Arial Narrow" w:hAnsi="Arial Narrow"/>
                            <w:b/>
                            <w:sz w:val="24"/>
                          </w:rPr>
                        </w:pPr>
                        <w:r w:rsidRPr="00C44DC4">
                          <w:rPr>
                            <w:rFonts w:ascii="Arial Narrow" w:hAnsi="Arial Narrow"/>
                            <w:b/>
                            <w:sz w:val="24"/>
                          </w:rPr>
                          <w:t>POLICY NUMBER:</w:t>
                        </w:r>
                        <w:r w:rsidRPr="00C44DC4">
                          <w:rPr>
                            <w:rFonts w:ascii="Arial Narrow" w:hAnsi="Arial Narrow"/>
                            <w:b/>
                            <w:sz w:val="24"/>
                          </w:rPr>
                          <w:tab/>
                          <w:t>EL- 2</w:t>
                        </w:r>
                        <w:r>
                          <w:rPr>
                            <w:rFonts w:ascii="Arial Narrow" w:hAnsi="Arial Narrow"/>
                            <w:b/>
                            <w:sz w:val="24"/>
                          </w:rPr>
                          <w:t xml:space="preserve"> </w:t>
                        </w:r>
                      </w:p>
                      <w:p w:rsidR="00264BFA" w:rsidRPr="00C44DC4" w:rsidRDefault="00264BFA" w:rsidP="00C44DC4">
                        <w:pPr>
                          <w:pBdr>
                            <w:top w:val="single" w:sz="18" w:space="10" w:color="auto"/>
                            <w:left w:val="single" w:sz="18" w:space="1" w:color="auto"/>
                            <w:bottom w:val="single" w:sz="18" w:space="1" w:color="auto"/>
                            <w:right w:val="single" w:sz="18" w:space="1" w:color="auto"/>
                          </w:pBdr>
                          <w:tabs>
                            <w:tab w:val="left" w:pos="2880"/>
                          </w:tabs>
                          <w:rPr>
                            <w:rFonts w:ascii="Arial Narrow" w:hAnsi="Arial Narrow"/>
                            <w:b/>
                            <w:sz w:val="24"/>
                          </w:rPr>
                        </w:pPr>
                        <w:r w:rsidRPr="00C44DC4">
                          <w:rPr>
                            <w:rFonts w:ascii="Arial Narrow" w:hAnsi="Arial Narrow"/>
                            <w:b/>
                            <w:sz w:val="24"/>
                          </w:rPr>
                          <w:t>ISSUING AUTHORITY:</w:t>
                        </w:r>
                        <w:r w:rsidRPr="00C44DC4">
                          <w:rPr>
                            <w:rFonts w:ascii="Arial Narrow" w:hAnsi="Arial Narrow"/>
                            <w:b/>
                            <w:sz w:val="24"/>
                          </w:rPr>
                          <w:tab/>
                          <w:t>Board of Directors</w:t>
                        </w:r>
                      </w:p>
                      <w:p w:rsidR="00264BFA" w:rsidRPr="00C44DC4" w:rsidRDefault="00264BFA" w:rsidP="00C44DC4">
                        <w:pPr>
                          <w:pBdr>
                            <w:top w:val="single" w:sz="18" w:space="10" w:color="auto"/>
                            <w:left w:val="single" w:sz="18" w:space="1" w:color="auto"/>
                            <w:bottom w:val="single" w:sz="18" w:space="1" w:color="auto"/>
                            <w:right w:val="single" w:sz="18" w:space="1" w:color="auto"/>
                          </w:pBdr>
                          <w:tabs>
                            <w:tab w:val="left" w:pos="2880"/>
                            <w:tab w:val="left" w:pos="5460"/>
                          </w:tabs>
                          <w:rPr>
                            <w:rFonts w:ascii="Arial Narrow" w:hAnsi="Arial Narrow"/>
                            <w:b/>
                            <w:sz w:val="24"/>
                            <w:u w:val="single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rFonts w:ascii="Arial Narrow" w:hAnsi="Arial Narrow"/>
                            <w:b/>
                            <w:sz w:val="24"/>
                            <w:u w:val="single"/>
                          </w:rPr>
                          <w:tab/>
                        </w:r>
                      </w:p>
                      <w:p w:rsidR="00264BFA" w:rsidRPr="00C44DC4" w:rsidRDefault="00264BFA" w:rsidP="00C44DC4">
                        <w:pPr>
                          <w:pBdr>
                            <w:top w:val="single" w:sz="18" w:space="10" w:color="auto"/>
                            <w:left w:val="single" w:sz="18" w:space="1" w:color="auto"/>
                            <w:bottom w:val="single" w:sz="18" w:space="1" w:color="auto"/>
                            <w:right w:val="single" w:sz="18" w:space="1" w:color="auto"/>
                          </w:pBdr>
                          <w:tabs>
                            <w:tab w:val="left" w:pos="2880"/>
                          </w:tabs>
                          <w:rPr>
                            <w:rFonts w:ascii="Arial Narrow" w:hAnsi="Arial Narrow"/>
                            <w:b/>
                            <w:sz w:val="24"/>
                          </w:rPr>
                        </w:pPr>
                      </w:p>
                      <w:p w:rsidR="00264BFA" w:rsidRPr="00C44DC4" w:rsidRDefault="00264BFA" w:rsidP="00C44DC4">
                        <w:pPr>
                          <w:pBdr>
                            <w:top w:val="single" w:sz="18" w:space="10" w:color="auto"/>
                            <w:left w:val="single" w:sz="18" w:space="1" w:color="auto"/>
                            <w:bottom w:val="single" w:sz="18" w:space="1" w:color="auto"/>
                            <w:right w:val="single" w:sz="18" w:space="1" w:color="auto"/>
                          </w:pBdr>
                          <w:tabs>
                            <w:tab w:val="left" w:pos="2880"/>
                          </w:tabs>
                          <w:rPr>
                            <w:rFonts w:ascii="Arial Narrow" w:hAnsi="Arial Narrow"/>
                            <w:b/>
                            <w:sz w:val="24"/>
                          </w:rPr>
                        </w:pPr>
                        <w:r w:rsidRPr="00C44DC4">
                          <w:rPr>
                            <w:rFonts w:ascii="Arial Narrow" w:hAnsi="Arial Narrow"/>
                            <w:b/>
                            <w:sz w:val="24"/>
                          </w:rPr>
                          <w:t>ISSUE DATE:</w:t>
                        </w:r>
                        <w:r w:rsidRPr="00C44DC4">
                          <w:rPr>
                            <w:rFonts w:ascii="Arial Narrow" w:hAnsi="Arial Narrow"/>
                            <w:b/>
                            <w:sz w:val="24"/>
                          </w:rPr>
                          <w:tab/>
                        </w:r>
                        <w:r>
                          <w:rPr>
                            <w:rFonts w:ascii="Arial Narrow" w:hAnsi="Arial Narrow"/>
                            <w:b/>
                            <w:sz w:val="24"/>
                          </w:rPr>
                          <w:t>July 19, 2012</w:t>
                        </w:r>
                      </w:p>
                      <w:p w:rsidR="00264BFA" w:rsidRDefault="00264BFA" w:rsidP="00C44DC4">
                        <w:pPr>
                          <w:pBdr>
                            <w:top w:val="single" w:sz="18" w:space="10" w:color="auto"/>
                            <w:left w:val="single" w:sz="18" w:space="1" w:color="auto"/>
                            <w:bottom w:val="single" w:sz="18" w:space="1" w:color="auto"/>
                            <w:right w:val="single" w:sz="18" w:space="1" w:color="auto"/>
                          </w:pBdr>
                          <w:tabs>
                            <w:tab w:val="left" w:pos="2880"/>
                          </w:tabs>
                          <w:rPr>
                            <w:rFonts w:ascii="Arial Narrow" w:hAnsi="Arial Narrow"/>
                            <w:b/>
                            <w:sz w:val="24"/>
                          </w:rPr>
                        </w:pPr>
                        <w:r w:rsidRPr="00C44DC4">
                          <w:rPr>
                            <w:rFonts w:ascii="Arial Narrow" w:hAnsi="Arial Narrow"/>
                            <w:b/>
                            <w:sz w:val="24"/>
                          </w:rPr>
                          <w:t>REVIEW DATE:</w:t>
                        </w:r>
                        <w:r w:rsidRPr="00C44DC4">
                          <w:rPr>
                            <w:rFonts w:ascii="Arial Narrow" w:hAnsi="Arial Narrow"/>
                            <w:b/>
                            <w:sz w:val="24"/>
                          </w:rPr>
                          <w:tab/>
                        </w:r>
                        <w:r w:rsidR="003D4F16">
                          <w:rPr>
                            <w:rFonts w:ascii="Arial Narrow" w:hAnsi="Arial Narrow"/>
                            <w:b/>
                            <w:sz w:val="24"/>
                          </w:rPr>
                          <w:t>February 28, 2022</w:t>
                        </w:r>
                      </w:p>
                      <w:p w:rsidR="00264BFA" w:rsidRPr="00C44DC4" w:rsidRDefault="00264BFA" w:rsidP="00C44DC4">
                        <w:pPr>
                          <w:pBdr>
                            <w:top w:val="single" w:sz="18" w:space="10" w:color="auto"/>
                            <w:left w:val="single" w:sz="18" w:space="1" w:color="auto"/>
                            <w:bottom w:val="single" w:sz="18" w:space="1" w:color="auto"/>
                            <w:right w:val="single" w:sz="18" w:space="1" w:color="auto"/>
                          </w:pBdr>
                          <w:tabs>
                            <w:tab w:val="left" w:pos="2880"/>
                          </w:tabs>
                          <w:rPr>
                            <w:rFonts w:ascii="Arial Narrow" w:hAnsi="Arial Narrow"/>
                            <w:b/>
                            <w:sz w:val="24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 w:val="24"/>
                          </w:rPr>
                          <w:t>REVISE DATE:</w:t>
                        </w:r>
                        <w:r w:rsidR="00487AD9">
                          <w:rPr>
                            <w:rFonts w:ascii="Arial Narrow" w:hAnsi="Arial Narrow"/>
                            <w:b/>
                            <w:sz w:val="24"/>
                          </w:rPr>
                          <w:tab/>
                        </w:r>
                        <w:r w:rsidR="004F0AFA">
                          <w:rPr>
                            <w:rFonts w:ascii="Arial Narrow" w:hAnsi="Arial Narrow"/>
                            <w:b/>
                            <w:sz w:val="24"/>
                          </w:rPr>
                          <w:t>October 30</w:t>
                        </w:r>
                        <w:r w:rsidR="006E2CB2">
                          <w:rPr>
                            <w:rFonts w:ascii="Arial Narrow" w:hAnsi="Arial Narrow"/>
                            <w:b/>
                            <w:sz w:val="24"/>
                          </w:rPr>
                          <w:t>, 2018</w:t>
                        </w:r>
                      </w:p>
                    </w:txbxContent>
                  </v:textbox>
                  <w10:wrap anchory="margin"/>
                </v:roundrect>
              </w:pict>
            </w:r>
          </w:p>
        </w:tc>
      </w:tr>
    </w:tbl>
    <w:p w:rsidR="000560C3" w:rsidRDefault="000560C3">
      <w:pPr>
        <w:jc w:val="both"/>
        <w:rPr>
          <w:sz w:val="24"/>
        </w:rPr>
      </w:pPr>
    </w:p>
    <w:p w:rsidR="000560C3" w:rsidRDefault="000560C3">
      <w:pPr>
        <w:jc w:val="both"/>
        <w:rPr>
          <w:sz w:val="24"/>
        </w:rPr>
      </w:pPr>
    </w:p>
    <w:p w:rsidR="000560C3" w:rsidRDefault="000560C3">
      <w:pPr>
        <w:jc w:val="both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  <w:u w:val="single"/>
        </w:rPr>
        <w:t>SUBJECT</w:t>
      </w:r>
      <w:r>
        <w:rPr>
          <w:rFonts w:ascii="Arial Narrow" w:hAnsi="Arial Narrow"/>
          <w:b/>
          <w:sz w:val="24"/>
        </w:rPr>
        <w:t>:</w:t>
      </w:r>
      <w:r>
        <w:rPr>
          <w:rFonts w:ascii="Arial Narrow" w:hAnsi="Arial Narrow"/>
          <w:b/>
          <w:sz w:val="24"/>
        </w:rPr>
        <w:tab/>
        <w:t xml:space="preserve">Executive Limitation </w:t>
      </w:r>
    </w:p>
    <w:p w:rsidR="000560C3" w:rsidRDefault="000560C3">
      <w:pPr>
        <w:pStyle w:val="Heading4"/>
        <w:rPr>
          <w:rFonts w:ascii="Arial Narrow" w:hAnsi="Arial Narrow"/>
        </w:rPr>
      </w:pPr>
      <w:r>
        <w:rPr>
          <w:rFonts w:ascii="Arial Narrow" w:hAnsi="Arial Narrow"/>
        </w:rPr>
        <w:t>TreatmenT of clients</w:t>
      </w:r>
    </w:p>
    <w:p w:rsidR="009D1336" w:rsidRPr="009D1336" w:rsidRDefault="009D1336" w:rsidP="009D1336"/>
    <w:p w:rsidR="0008632E" w:rsidRDefault="0008632E" w:rsidP="0008632E">
      <w:pPr>
        <w:ind w:left="2665" w:hanging="2665"/>
        <w:rPr>
          <w:rFonts w:ascii="Arial Narrow" w:hAnsi="Arial Narrow"/>
          <w:b/>
          <w:sz w:val="24"/>
          <w:u w:val="single"/>
        </w:rPr>
      </w:pPr>
      <w:r>
        <w:rPr>
          <w:rFonts w:ascii="Arial Narrow" w:hAnsi="Arial Narrow"/>
          <w:b/>
          <w:sz w:val="24"/>
          <w:u w:val="single"/>
        </w:rPr>
        <w:t xml:space="preserve">REFERENCE BOARD END:  </w:t>
      </w:r>
    </w:p>
    <w:p w:rsidR="009A5C45" w:rsidRPr="004C19F9" w:rsidRDefault="009A5C45" w:rsidP="009A5C45">
      <w:pPr>
        <w:ind w:left="720" w:firstLine="720"/>
        <w:jc w:val="both"/>
        <w:rPr>
          <w:rFonts w:ascii="Arial Narrow" w:hAnsi="Arial Narrow"/>
          <w:sz w:val="24"/>
          <w:szCs w:val="24"/>
        </w:rPr>
      </w:pPr>
      <w:r w:rsidRPr="004C19F9">
        <w:rPr>
          <w:rFonts w:ascii="Arial Narrow" w:hAnsi="Arial Narrow"/>
          <w:sz w:val="24"/>
          <w:szCs w:val="24"/>
        </w:rPr>
        <w:t>Healthy people and healthy environment</w:t>
      </w:r>
    </w:p>
    <w:p w:rsidR="00B04034" w:rsidRPr="004C19F9" w:rsidRDefault="00B57409" w:rsidP="009A5C45">
      <w:pPr>
        <w:ind w:left="1440"/>
        <w:jc w:val="both"/>
        <w:rPr>
          <w:rFonts w:ascii="Arial Narrow" w:hAnsi="Arial Narrow"/>
          <w:sz w:val="24"/>
          <w:szCs w:val="24"/>
        </w:rPr>
      </w:pPr>
      <w:r w:rsidRPr="004C19F9">
        <w:rPr>
          <w:rFonts w:ascii="Arial Narrow" w:hAnsi="Arial Narrow"/>
          <w:sz w:val="24"/>
          <w:szCs w:val="24"/>
        </w:rPr>
        <w:t>Accessible health services</w:t>
      </w:r>
    </w:p>
    <w:p w:rsidR="00B57409" w:rsidRPr="004C19F9" w:rsidRDefault="00B57409" w:rsidP="009A5C45">
      <w:pPr>
        <w:ind w:left="720" w:right="540"/>
        <w:jc w:val="both"/>
        <w:rPr>
          <w:rFonts w:ascii="Arial Narrow" w:hAnsi="Arial Narrow"/>
          <w:sz w:val="24"/>
          <w:szCs w:val="24"/>
        </w:rPr>
      </w:pPr>
      <w:r w:rsidRPr="004C19F9">
        <w:rPr>
          <w:rFonts w:ascii="Arial Narrow" w:hAnsi="Arial Narrow"/>
          <w:sz w:val="24"/>
          <w:szCs w:val="24"/>
        </w:rPr>
        <w:tab/>
      </w:r>
      <w:r w:rsidR="00CB18EA" w:rsidRPr="004C19F9">
        <w:rPr>
          <w:rFonts w:ascii="Arial Narrow" w:hAnsi="Arial Narrow"/>
          <w:sz w:val="24"/>
          <w:szCs w:val="24"/>
        </w:rPr>
        <w:t>Safe</w:t>
      </w:r>
      <w:r w:rsidR="00730BA8" w:rsidRPr="004C19F9">
        <w:rPr>
          <w:rFonts w:ascii="Arial Narrow" w:hAnsi="Arial Narrow"/>
          <w:sz w:val="24"/>
          <w:szCs w:val="24"/>
        </w:rPr>
        <w:t>,</w:t>
      </w:r>
      <w:r w:rsidR="00824A56">
        <w:rPr>
          <w:rFonts w:ascii="Arial Narrow" w:hAnsi="Arial Narrow"/>
          <w:sz w:val="24"/>
          <w:szCs w:val="24"/>
        </w:rPr>
        <w:t xml:space="preserve"> people-</w:t>
      </w:r>
      <w:proofErr w:type="spellStart"/>
      <w:r w:rsidR="00824A56">
        <w:rPr>
          <w:rFonts w:ascii="Arial Narrow" w:hAnsi="Arial Narrow"/>
          <w:sz w:val="24"/>
          <w:szCs w:val="24"/>
        </w:rPr>
        <w:t>centred</w:t>
      </w:r>
      <w:proofErr w:type="spellEnd"/>
      <w:r w:rsidR="00824A56">
        <w:rPr>
          <w:rFonts w:ascii="Arial Narrow" w:hAnsi="Arial Narrow"/>
          <w:sz w:val="24"/>
          <w:szCs w:val="24"/>
        </w:rPr>
        <w:t xml:space="preserve"> q</w:t>
      </w:r>
      <w:r w:rsidR="00CB18EA" w:rsidRPr="004C19F9">
        <w:rPr>
          <w:rFonts w:ascii="Arial Narrow" w:hAnsi="Arial Narrow"/>
          <w:sz w:val="24"/>
          <w:szCs w:val="24"/>
        </w:rPr>
        <w:t xml:space="preserve">uality </w:t>
      </w:r>
      <w:r w:rsidR="009A5C45" w:rsidRPr="004C19F9">
        <w:rPr>
          <w:rFonts w:ascii="Arial Narrow" w:hAnsi="Arial Narrow"/>
          <w:sz w:val="24"/>
          <w:szCs w:val="24"/>
        </w:rPr>
        <w:t>h</w:t>
      </w:r>
      <w:r w:rsidR="00CB18EA" w:rsidRPr="004C19F9">
        <w:rPr>
          <w:rFonts w:ascii="Arial Narrow" w:hAnsi="Arial Narrow"/>
          <w:sz w:val="24"/>
          <w:szCs w:val="24"/>
        </w:rPr>
        <w:t xml:space="preserve">ealth </w:t>
      </w:r>
      <w:r w:rsidR="009A5C45" w:rsidRPr="004C19F9">
        <w:rPr>
          <w:rFonts w:ascii="Arial Narrow" w:hAnsi="Arial Narrow"/>
          <w:sz w:val="24"/>
          <w:szCs w:val="24"/>
        </w:rPr>
        <w:t>c</w:t>
      </w:r>
      <w:r w:rsidR="00CB18EA" w:rsidRPr="004C19F9">
        <w:rPr>
          <w:rFonts w:ascii="Arial Narrow" w:hAnsi="Arial Narrow"/>
          <w:sz w:val="24"/>
          <w:szCs w:val="24"/>
        </w:rPr>
        <w:t>are</w:t>
      </w:r>
    </w:p>
    <w:p w:rsidR="00730BA8" w:rsidRPr="004C19F9" w:rsidRDefault="009A5C45" w:rsidP="009A5C45">
      <w:pPr>
        <w:ind w:left="720" w:right="540" w:firstLine="720"/>
        <w:jc w:val="both"/>
        <w:rPr>
          <w:rFonts w:ascii="Arial Narrow" w:hAnsi="Arial Narrow"/>
          <w:sz w:val="24"/>
          <w:u w:val="single"/>
        </w:rPr>
      </w:pPr>
      <w:r w:rsidRPr="004C19F9">
        <w:rPr>
          <w:rFonts w:ascii="Arial Narrow" w:hAnsi="Arial Narrow"/>
          <w:sz w:val="24"/>
          <w:szCs w:val="24"/>
        </w:rPr>
        <w:t>Sustainable, accountable and responsive health organization</w:t>
      </w:r>
    </w:p>
    <w:p w:rsidR="00607338" w:rsidRDefault="00607338">
      <w:pPr>
        <w:ind w:right="540"/>
        <w:jc w:val="both"/>
        <w:rPr>
          <w:rFonts w:ascii="Arial Narrow" w:hAnsi="Arial Narrow"/>
          <w:b/>
          <w:sz w:val="24"/>
          <w:u w:val="single"/>
        </w:rPr>
      </w:pPr>
    </w:p>
    <w:p w:rsidR="000560C3" w:rsidRDefault="000560C3">
      <w:pPr>
        <w:ind w:right="540"/>
        <w:jc w:val="both"/>
        <w:rPr>
          <w:rFonts w:ascii="Arial Narrow" w:hAnsi="Arial Narrow"/>
          <w:sz w:val="24"/>
          <w:u w:val="single"/>
        </w:rPr>
      </w:pPr>
      <w:r>
        <w:rPr>
          <w:rFonts w:ascii="Arial Narrow" w:hAnsi="Arial Narrow"/>
          <w:b/>
          <w:sz w:val="24"/>
          <w:u w:val="single"/>
        </w:rPr>
        <w:t>POLICY:</w:t>
      </w:r>
    </w:p>
    <w:p w:rsidR="000560C3" w:rsidRDefault="000560C3">
      <w:pPr>
        <w:ind w:right="540"/>
        <w:jc w:val="both"/>
        <w:rPr>
          <w:rFonts w:ascii="Arial Narrow" w:hAnsi="Arial Narrow"/>
          <w:sz w:val="24"/>
        </w:rPr>
      </w:pPr>
    </w:p>
    <w:p w:rsidR="007C20C4" w:rsidRPr="0061323A" w:rsidRDefault="00264BFA" w:rsidP="007C20C4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napToGrid w:val="0"/>
          <w:sz w:val="24"/>
        </w:rPr>
        <w:t xml:space="preserve">With respect to </w:t>
      </w:r>
      <w:r w:rsidR="009E0555">
        <w:rPr>
          <w:rFonts w:ascii="Arial Narrow" w:hAnsi="Arial Narrow"/>
          <w:snapToGrid w:val="0"/>
          <w:sz w:val="24"/>
        </w:rPr>
        <w:t>generally accepted industry standards and guidelines, in the care and quality of services provided to clients</w:t>
      </w:r>
      <w:r>
        <w:rPr>
          <w:rFonts w:ascii="Arial Narrow" w:hAnsi="Arial Narrow"/>
          <w:snapToGrid w:val="0"/>
          <w:sz w:val="24"/>
        </w:rPr>
        <w:t>, the CEO shall not fail to comply</w:t>
      </w:r>
      <w:r w:rsidR="009E0555">
        <w:rPr>
          <w:rFonts w:ascii="Arial Narrow" w:hAnsi="Arial Narrow"/>
          <w:snapToGrid w:val="0"/>
          <w:sz w:val="24"/>
        </w:rPr>
        <w:t xml:space="preserve"> with </w:t>
      </w:r>
      <w:r w:rsidR="00795614">
        <w:rPr>
          <w:rFonts w:ascii="Arial Narrow" w:hAnsi="Arial Narrow"/>
          <w:snapToGrid w:val="0"/>
          <w:sz w:val="24"/>
        </w:rPr>
        <w:t>legislation, regulations and Manitoba Health’s instructions</w:t>
      </w:r>
      <w:r w:rsidR="007C20C4">
        <w:rPr>
          <w:rFonts w:ascii="Arial Narrow" w:hAnsi="Arial Narrow"/>
          <w:snapToGrid w:val="0"/>
          <w:sz w:val="24"/>
        </w:rPr>
        <w:t xml:space="preserve"> </w:t>
      </w:r>
      <w:r w:rsidR="007C20C4">
        <w:rPr>
          <w:rFonts w:ascii="Arial Narrow" w:hAnsi="Arial Narrow"/>
          <w:sz w:val="24"/>
          <w:szCs w:val="24"/>
        </w:rPr>
        <w:t>and shall not f</w:t>
      </w:r>
      <w:r w:rsidR="007C20C4" w:rsidRPr="000116CC">
        <w:rPr>
          <w:rFonts w:ascii="Arial Narrow" w:hAnsi="Arial Narrow"/>
          <w:sz w:val="24"/>
          <w:szCs w:val="24"/>
        </w:rPr>
        <w:t xml:space="preserve">ail to evaluate and minimize potential risks in accordance with </w:t>
      </w:r>
      <w:r w:rsidR="006F7EA0">
        <w:rPr>
          <w:rFonts w:ascii="Arial Narrow" w:hAnsi="Arial Narrow"/>
          <w:sz w:val="24"/>
          <w:szCs w:val="24"/>
        </w:rPr>
        <w:t xml:space="preserve">Executive Limitation (EL-1) </w:t>
      </w:r>
      <w:r w:rsidR="007C20C4" w:rsidRPr="000116CC">
        <w:rPr>
          <w:rFonts w:ascii="Arial Narrow" w:hAnsi="Arial Narrow"/>
          <w:sz w:val="24"/>
          <w:szCs w:val="24"/>
        </w:rPr>
        <w:t xml:space="preserve">Global </w:t>
      </w:r>
      <w:r w:rsidR="009D1336">
        <w:rPr>
          <w:rFonts w:ascii="Arial Narrow" w:hAnsi="Arial Narrow"/>
          <w:sz w:val="24"/>
          <w:szCs w:val="24"/>
        </w:rPr>
        <w:t>E</w:t>
      </w:r>
      <w:r w:rsidR="007C20C4" w:rsidRPr="000116CC">
        <w:rPr>
          <w:rFonts w:ascii="Arial Narrow" w:hAnsi="Arial Narrow"/>
          <w:sz w:val="24"/>
          <w:szCs w:val="24"/>
        </w:rPr>
        <w:t xml:space="preserve">xecutive </w:t>
      </w:r>
      <w:r w:rsidR="009D1336">
        <w:rPr>
          <w:rFonts w:ascii="Arial Narrow" w:hAnsi="Arial Narrow"/>
          <w:sz w:val="24"/>
          <w:szCs w:val="24"/>
        </w:rPr>
        <w:t>R</w:t>
      </w:r>
      <w:r w:rsidR="007C20C4" w:rsidRPr="000116CC">
        <w:rPr>
          <w:rFonts w:ascii="Arial Narrow" w:hAnsi="Arial Narrow"/>
          <w:sz w:val="24"/>
          <w:szCs w:val="24"/>
        </w:rPr>
        <w:t xml:space="preserve">estraint &amp; </w:t>
      </w:r>
      <w:r w:rsidR="009D1336">
        <w:rPr>
          <w:rFonts w:ascii="Arial Narrow" w:hAnsi="Arial Narrow"/>
          <w:sz w:val="24"/>
          <w:szCs w:val="24"/>
        </w:rPr>
        <w:t>R</w:t>
      </w:r>
      <w:r w:rsidR="007C20C4">
        <w:rPr>
          <w:rFonts w:ascii="Arial Narrow" w:hAnsi="Arial Narrow"/>
          <w:sz w:val="24"/>
          <w:szCs w:val="24"/>
        </w:rPr>
        <w:t xml:space="preserve">isk </w:t>
      </w:r>
      <w:r w:rsidR="009D1336">
        <w:rPr>
          <w:rFonts w:ascii="Arial Narrow" w:hAnsi="Arial Narrow"/>
          <w:sz w:val="24"/>
          <w:szCs w:val="24"/>
        </w:rPr>
        <w:t>M</w:t>
      </w:r>
      <w:r w:rsidR="007C20C4">
        <w:rPr>
          <w:rFonts w:ascii="Arial Narrow" w:hAnsi="Arial Narrow"/>
          <w:sz w:val="24"/>
          <w:szCs w:val="24"/>
        </w:rPr>
        <w:t>anagement.</w:t>
      </w:r>
    </w:p>
    <w:p w:rsidR="000560C3" w:rsidRDefault="000560C3">
      <w:pPr>
        <w:jc w:val="both"/>
        <w:rPr>
          <w:rFonts w:ascii="Arial Narrow" w:hAnsi="Arial Narrow"/>
          <w:snapToGrid w:val="0"/>
          <w:sz w:val="24"/>
        </w:rPr>
      </w:pPr>
    </w:p>
    <w:p w:rsidR="009E0555" w:rsidRDefault="00264BFA">
      <w:pPr>
        <w:jc w:val="both"/>
        <w:rPr>
          <w:rFonts w:ascii="Arial Narrow" w:hAnsi="Arial Narrow"/>
          <w:snapToGrid w:val="0"/>
          <w:sz w:val="24"/>
        </w:rPr>
      </w:pPr>
      <w:r>
        <w:rPr>
          <w:rFonts w:ascii="Arial Narrow" w:hAnsi="Arial Narrow"/>
          <w:snapToGrid w:val="0"/>
          <w:sz w:val="24"/>
        </w:rPr>
        <w:t>Accordingly, the CEO shall not:</w:t>
      </w:r>
    </w:p>
    <w:p w:rsidR="00264BFA" w:rsidRDefault="00264BFA">
      <w:pPr>
        <w:jc w:val="both"/>
        <w:rPr>
          <w:rFonts w:ascii="Arial Narrow" w:hAnsi="Arial Narrow"/>
          <w:snapToGrid w:val="0"/>
          <w:sz w:val="24"/>
        </w:rPr>
      </w:pPr>
    </w:p>
    <w:p w:rsidR="000560C3" w:rsidRDefault="000560C3" w:rsidP="00FF5C6E">
      <w:pPr>
        <w:numPr>
          <w:ilvl w:val="0"/>
          <w:numId w:val="1"/>
        </w:numPr>
        <w:tabs>
          <w:tab w:val="clear" w:pos="360"/>
          <w:tab w:val="num" w:pos="720"/>
        </w:tabs>
        <w:ind w:left="720" w:hanging="720"/>
        <w:jc w:val="both"/>
        <w:rPr>
          <w:rFonts w:ascii="Arial Narrow" w:hAnsi="Arial Narrow"/>
          <w:snapToGrid w:val="0"/>
          <w:sz w:val="24"/>
        </w:rPr>
      </w:pPr>
      <w:r>
        <w:rPr>
          <w:rFonts w:ascii="Arial Narrow" w:hAnsi="Arial Narrow"/>
          <w:snapToGrid w:val="0"/>
          <w:sz w:val="24"/>
        </w:rPr>
        <w:t xml:space="preserve">Fail to </w:t>
      </w:r>
      <w:r w:rsidR="009E0555">
        <w:rPr>
          <w:rFonts w:ascii="Arial Narrow" w:hAnsi="Arial Narrow"/>
          <w:snapToGrid w:val="0"/>
          <w:sz w:val="24"/>
        </w:rPr>
        <w:t>make information available to clients on RHA services.</w:t>
      </w:r>
    </w:p>
    <w:p w:rsidR="000560C3" w:rsidRDefault="000560C3" w:rsidP="00C44DC4">
      <w:pPr>
        <w:tabs>
          <w:tab w:val="num" w:pos="720"/>
        </w:tabs>
        <w:ind w:left="720" w:hanging="720"/>
        <w:jc w:val="both"/>
        <w:rPr>
          <w:rFonts w:ascii="Arial Narrow" w:hAnsi="Arial Narrow"/>
          <w:snapToGrid w:val="0"/>
          <w:sz w:val="24"/>
        </w:rPr>
      </w:pPr>
    </w:p>
    <w:p w:rsidR="000560C3" w:rsidRDefault="009E0555" w:rsidP="00FF5C6E">
      <w:pPr>
        <w:numPr>
          <w:ilvl w:val="0"/>
          <w:numId w:val="1"/>
        </w:numPr>
        <w:tabs>
          <w:tab w:val="clear" w:pos="360"/>
          <w:tab w:val="num" w:pos="720"/>
          <w:tab w:val="left" w:pos="810"/>
        </w:tabs>
        <w:ind w:left="720" w:hanging="720"/>
        <w:jc w:val="both"/>
        <w:rPr>
          <w:rFonts w:ascii="Arial Narrow" w:hAnsi="Arial Narrow"/>
          <w:snapToGrid w:val="0"/>
          <w:sz w:val="24"/>
        </w:rPr>
      </w:pPr>
      <w:r>
        <w:rPr>
          <w:rFonts w:ascii="Arial Narrow" w:hAnsi="Arial Narrow"/>
          <w:snapToGrid w:val="0"/>
          <w:sz w:val="24"/>
        </w:rPr>
        <w:t xml:space="preserve">Fail to have processes in place </w:t>
      </w:r>
      <w:r w:rsidR="005E386E">
        <w:rPr>
          <w:rFonts w:ascii="Arial Narrow" w:hAnsi="Arial Narrow"/>
          <w:snapToGrid w:val="0"/>
          <w:sz w:val="24"/>
        </w:rPr>
        <w:t>to inform clients about their rights and to provide an avenue for clients to lodge complaints or feedback</w:t>
      </w:r>
      <w:r>
        <w:rPr>
          <w:rFonts w:ascii="Arial Narrow" w:hAnsi="Arial Narrow"/>
          <w:snapToGrid w:val="0"/>
          <w:sz w:val="24"/>
        </w:rPr>
        <w:t>.</w:t>
      </w:r>
    </w:p>
    <w:p w:rsidR="000560C3" w:rsidRDefault="000560C3" w:rsidP="00C44DC4">
      <w:pPr>
        <w:tabs>
          <w:tab w:val="num" w:pos="720"/>
        </w:tabs>
        <w:ind w:left="720" w:hanging="720"/>
        <w:jc w:val="both"/>
        <w:rPr>
          <w:rFonts w:ascii="Arial Narrow" w:hAnsi="Arial Narrow"/>
        </w:rPr>
      </w:pPr>
    </w:p>
    <w:p w:rsidR="000560C3" w:rsidRDefault="000560C3" w:rsidP="00FF5C6E">
      <w:pPr>
        <w:numPr>
          <w:ilvl w:val="0"/>
          <w:numId w:val="1"/>
        </w:numPr>
        <w:tabs>
          <w:tab w:val="clear" w:pos="360"/>
          <w:tab w:val="num" w:pos="720"/>
        </w:tabs>
        <w:ind w:left="720" w:hanging="720"/>
        <w:jc w:val="both"/>
        <w:rPr>
          <w:rFonts w:ascii="Arial Narrow" w:hAnsi="Arial Narrow"/>
          <w:snapToGrid w:val="0"/>
          <w:sz w:val="24"/>
        </w:rPr>
      </w:pPr>
      <w:r>
        <w:rPr>
          <w:rFonts w:ascii="Arial Narrow" w:hAnsi="Arial Narrow"/>
          <w:snapToGrid w:val="0"/>
          <w:sz w:val="24"/>
        </w:rPr>
        <w:t>Fail to obtain feedback from clients in the delivery of health services and to consider that feedback weighed against reasonable expectations and feasibility of implementing new services.</w:t>
      </w:r>
    </w:p>
    <w:p w:rsidR="00545709" w:rsidRDefault="00545709" w:rsidP="00545709">
      <w:pPr>
        <w:jc w:val="both"/>
        <w:rPr>
          <w:rFonts w:ascii="Arial Narrow" w:hAnsi="Arial Narrow"/>
          <w:snapToGrid w:val="0"/>
          <w:sz w:val="24"/>
        </w:rPr>
      </w:pPr>
    </w:p>
    <w:p w:rsidR="00E43E2D" w:rsidRDefault="00E43E2D" w:rsidP="00E43E2D">
      <w:pPr>
        <w:numPr>
          <w:ilvl w:val="0"/>
          <w:numId w:val="1"/>
        </w:numPr>
        <w:tabs>
          <w:tab w:val="clear" w:pos="360"/>
          <w:tab w:val="num" w:pos="720"/>
        </w:tabs>
        <w:ind w:left="720" w:hanging="720"/>
        <w:jc w:val="both"/>
        <w:rPr>
          <w:rFonts w:ascii="Arial Narrow" w:hAnsi="Arial Narrow"/>
          <w:snapToGrid w:val="0"/>
          <w:sz w:val="24"/>
        </w:rPr>
      </w:pPr>
      <w:r>
        <w:rPr>
          <w:rFonts w:ascii="Arial Narrow" w:hAnsi="Arial Narrow"/>
          <w:snapToGrid w:val="0"/>
          <w:sz w:val="24"/>
        </w:rPr>
        <w:t xml:space="preserve">Fail to comply with </w:t>
      </w:r>
      <w:r w:rsidRPr="00E43E2D">
        <w:rPr>
          <w:rFonts w:ascii="Arial Narrow" w:hAnsi="Arial Narrow"/>
          <w:i/>
          <w:snapToGrid w:val="0"/>
          <w:sz w:val="24"/>
        </w:rPr>
        <w:t>The Accessibility for Manitobans Act</w:t>
      </w:r>
      <w:r w:rsidR="00D20828">
        <w:rPr>
          <w:rFonts w:ascii="Arial Narrow" w:hAnsi="Arial Narrow"/>
          <w:i/>
          <w:snapToGrid w:val="0"/>
          <w:sz w:val="24"/>
        </w:rPr>
        <w:t>.</w:t>
      </w:r>
    </w:p>
    <w:p w:rsidR="00545709" w:rsidRDefault="00545709" w:rsidP="00545709">
      <w:pPr>
        <w:jc w:val="both"/>
        <w:rPr>
          <w:rFonts w:ascii="Arial Narrow" w:hAnsi="Arial Narrow"/>
          <w:snapToGrid w:val="0"/>
          <w:sz w:val="24"/>
        </w:rPr>
      </w:pPr>
    </w:p>
    <w:p w:rsidR="00545709" w:rsidRDefault="00545709" w:rsidP="00730BA8">
      <w:pPr>
        <w:numPr>
          <w:ilvl w:val="0"/>
          <w:numId w:val="1"/>
        </w:numPr>
        <w:tabs>
          <w:tab w:val="clear" w:pos="360"/>
          <w:tab w:val="num" w:pos="720"/>
        </w:tabs>
        <w:ind w:left="720" w:hanging="720"/>
        <w:jc w:val="both"/>
        <w:rPr>
          <w:rFonts w:ascii="Arial Narrow" w:hAnsi="Arial Narrow"/>
          <w:snapToGrid w:val="0"/>
          <w:sz w:val="24"/>
        </w:rPr>
      </w:pPr>
      <w:r>
        <w:rPr>
          <w:rFonts w:ascii="Arial Narrow" w:hAnsi="Arial Narrow"/>
          <w:snapToGrid w:val="0"/>
          <w:sz w:val="24"/>
        </w:rPr>
        <w:t>Fail to institute processes that are compliant with current privacy legislation to collect, use and store client information.</w:t>
      </w:r>
    </w:p>
    <w:p w:rsidR="00545709" w:rsidRDefault="00545709" w:rsidP="00545709">
      <w:pPr>
        <w:tabs>
          <w:tab w:val="num" w:pos="720"/>
        </w:tabs>
        <w:ind w:left="720" w:hanging="720"/>
        <w:jc w:val="both"/>
        <w:rPr>
          <w:rFonts w:ascii="Arial Narrow" w:hAnsi="Arial Narrow"/>
          <w:snapToGrid w:val="0"/>
          <w:sz w:val="24"/>
        </w:rPr>
      </w:pPr>
    </w:p>
    <w:p w:rsidR="00545709" w:rsidRDefault="00545709" w:rsidP="00730BA8">
      <w:pPr>
        <w:numPr>
          <w:ilvl w:val="0"/>
          <w:numId w:val="1"/>
        </w:numPr>
        <w:tabs>
          <w:tab w:val="clear" w:pos="360"/>
          <w:tab w:val="num" w:pos="720"/>
        </w:tabs>
        <w:ind w:left="720" w:hanging="720"/>
        <w:jc w:val="both"/>
        <w:rPr>
          <w:rFonts w:ascii="Arial Narrow" w:hAnsi="Arial Narrow"/>
          <w:snapToGrid w:val="0"/>
          <w:sz w:val="24"/>
        </w:rPr>
      </w:pPr>
      <w:r>
        <w:rPr>
          <w:rFonts w:ascii="Arial Narrow" w:hAnsi="Arial Narrow"/>
          <w:snapToGrid w:val="0"/>
          <w:sz w:val="24"/>
        </w:rPr>
        <w:t>Fail to have processes in place that promote client engagement and participation in decision making about their care.</w:t>
      </w:r>
    </w:p>
    <w:p w:rsidR="00545709" w:rsidRPr="00B04034" w:rsidRDefault="00545709" w:rsidP="00B04034">
      <w:pPr>
        <w:jc w:val="both"/>
        <w:rPr>
          <w:rFonts w:ascii="Arial Narrow" w:hAnsi="Arial Narrow"/>
          <w:snapToGrid w:val="0"/>
          <w:sz w:val="24"/>
        </w:rPr>
      </w:pPr>
    </w:p>
    <w:p w:rsidR="002B19A8" w:rsidRPr="002B19A8" w:rsidRDefault="002B19A8" w:rsidP="00730BA8">
      <w:pPr>
        <w:numPr>
          <w:ilvl w:val="0"/>
          <w:numId w:val="1"/>
        </w:numPr>
        <w:tabs>
          <w:tab w:val="clear" w:pos="360"/>
          <w:tab w:val="num" w:pos="720"/>
        </w:tabs>
        <w:ind w:left="720" w:hanging="720"/>
        <w:jc w:val="both"/>
        <w:rPr>
          <w:rFonts w:ascii="Arial Narrow" w:hAnsi="Arial Narrow"/>
          <w:snapToGrid w:val="0"/>
          <w:sz w:val="24"/>
          <w:szCs w:val="24"/>
        </w:rPr>
      </w:pPr>
      <w:r w:rsidRPr="002B19A8">
        <w:rPr>
          <w:rFonts w:ascii="Arial Narrow" w:hAnsi="Arial Narrow" w:cs="Arial"/>
          <w:bCs/>
          <w:sz w:val="24"/>
          <w:szCs w:val="24"/>
        </w:rPr>
        <w:t>Fail to have policies, practices and processes in place to enable and sustain a fa</w:t>
      </w:r>
      <w:r>
        <w:rPr>
          <w:rFonts w:ascii="Arial Narrow" w:hAnsi="Arial Narrow" w:cs="Arial"/>
          <w:bCs/>
          <w:sz w:val="24"/>
          <w:szCs w:val="24"/>
        </w:rPr>
        <w:t>ir and just culture of safet</w:t>
      </w:r>
      <w:bookmarkStart w:id="0" w:name="_GoBack"/>
      <w:bookmarkEnd w:id="0"/>
      <w:r>
        <w:rPr>
          <w:rFonts w:ascii="Arial Narrow" w:hAnsi="Arial Narrow" w:cs="Arial"/>
          <w:bCs/>
          <w:sz w:val="24"/>
          <w:szCs w:val="24"/>
        </w:rPr>
        <w:t>y.</w:t>
      </w:r>
    </w:p>
    <w:p w:rsidR="002B19A8" w:rsidRDefault="002B19A8" w:rsidP="002B19A8">
      <w:pPr>
        <w:pStyle w:val="ListParagraph"/>
        <w:rPr>
          <w:rFonts w:ascii="Arial Narrow" w:hAnsi="Arial Narrow"/>
          <w:snapToGrid w:val="0"/>
          <w:sz w:val="24"/>
        </w:rPr>
      </w:pPr>
    </w:p>
    <w:p w:rsidR="00730BA8" w:rsidRDefault="00D20828" w:rsidP="004C19F9">
      <w:pPr>
        <w:numPr>
          <w:ilvl w:val="0"/>
          <w:numId w:val="1"/>
        </w:numPr>
        <w:tabs>
          <w:tab w:val="clear" w:pos="360"/>
          <w:tab w:val="num" w:pos="720"/>
        </w:tabs>
        <w:ind w:left="720" w:hanging="720"/>
        <w:jc w:val="both"/>
        <w:rPr>
          <w:rFonts w:ascii="Arial Narrow" w:hAnsi="Arial Narrow"/>
          <w:snapToGrid w:val="0"/>
          <w:sz w:val="24"/>
        </w:rPr>
      </w:pPr>
      <w:r w:rsidRPr="00730BA8">
        <w:rPr>
          <w:rFonts w:ascii="Arial Narrow" w:hAnsi="Arial Narrow"/>
          <w:snapToGrid w:val="0"/>
          <w:sz w:val="24"/>
        </w:rPr>
        <w:lastRenderedPageBreak/>
        <w:t>Fail</w:t>
      </w:r>
      <w:r>
        <w:rPr>
          <w:rFonts w:ascii="Arial Narrow" w:hAnsi="Arial Narrow"/>
          <w:snapToGrid w:val="0"/>
          <w:sz w:val="24"/>
        </w:rPr>
        <w:t xml:space="preserve"> to have </w:t>
      </w:r>
      <w:r w:rsidRPr="004C19F9">
        <w:rPr>
          <w:rFonts w:ascii="Arial Narrow" w:hAnsi="Arial Narrow" w:cs="Arial"/>
          <w:bCs/>
          <w:sz w:val="24"/>
          <w:szCs w:val="24"/>
        </w:rPr>
        <w:t>processes</w:t>
      </w:r>
      <w:r>
        <w:rPr>
          <w:rFonts w:ascii="Arial Narrow" w:hAnsi="Arial Narrow"/>
          <w:snapToGrid w:val="0"/>
          <w:sz w:val="24"/>
        </w:rPr>
        <w:t xml:space="preserve"> in place to monitor and mitigate risks to client safety.</w:t>
      </w:r>
    </w:p>
    <w:p w:rsidR="004C19F9" w:rsidRDefault="004C19F9" w:rsidP="00730BA8">
      <w:pPr>
        <w:ind w:left="360"/>
        <w:jc w:val="both"/>
        <w:rPr>
          <w:rFonts w:ascii="Arial Narrow" w:hAnsi="Arial Narrow"/>
          <w:snapToGrid w:val="0"/>
          <w:sz w:val="24"/>
        </w:rPr>
      </w:pPr>
    </w:p>
    <w:p w:rsidR="002B19A8" w:rsidRPr="00730BA8" w:rsidRDefault="003538F3" w:rsidP="004C19F9">
      <w:pPr>
        <w:numPr>
          <w:ilvl w:val="0"/>
          <w:numId w:val="1"/>
        </w:numPr>
        <w:tabs>
          <w:tab w:val="clear" w:pos="360"/>
          <w:tab w:val="num" w:pos="720"/>
        </w:tabs>
        <w:ind w:left="720" w:hanging="720"/>
        <w:jc w:val="both"/>
        <w:rPr>
          <w:rFonts w:ascii="Arial Narrow" w:hAnsi="Arial Narrow"/>
          <w:snapToGrid w:val="0"/>
          <w:sz w:val="24"/>
        </w:rPr>
      </w:pPr>
      <w:r w:rsidRPr="00730BA8">
        <w:rPr>
          <w:rFonts w:ascii="Arial Narrow" w:hAnsi="Arial Narrow"/>
          <w:snapToGrid w:val="0"/>
          <w:sz w:val="24"/>
        </w:rPr>
        <w:t xml:space="preserve">Fail to </w:t>
      </w:r>
      <w:r w:rsidRPr="004C19F9">
        <w:rPr>
          <w:rFonts w:ascii="Arial Narrow" w:hAnsi="Arial Narrow" w:cs="Arial"/>
          <w:bCs/>
          <w:sz w:val="24"/>
          <w:szCs w:val="24"/>
        </w:rPr>
        <w:t>monitor</w:t>
      </w:r>
      <w:r w:rsidR="004D59EC" w:rsidRPr="00730BA8">
        <w:rPr>
          <w:rFonts w:ascii="Arial Narrow" w:hAnsi="Arial Narrow"/>
          <w:snapToGrid w:val="0"/>
          <w:sz w:val="24"/>
        </w:rPr>
        <w:t xml:space="preserve">, </w:t>
      </w:r>
      <w:r w:rsidRPr="00730BA8">
        <w:rPr>
          <w:rFonts w:ascii="Arial Narrow" w:hAnsi="Arial Narrow"/>
          <w:snapToGrid w:val="0"/>
          <w:sz w:val="24"/>
        </w:rPr>
        <w:t>manage</w:t>
      </w:r>
      <w:r w:rsidR="004D59EC" w:rsidRPr="00730BA8">
        <w:rPr>
          <w:rFonts w:ascii="Arial Narrow" w:hAnsi="Arial Narrow"/>
          <w:snapToGrid w:val="0"/>
          <w:sz w:val="24"/>
        </w:rPr>
        <w:t xml:space="preserve"> and learn from</w:t>
      </w:r>
      <w:r w:rsidRPr="00730BA8">
        <w:rPr>
          <w:rFonts w:ascii="Arial Narrow" w:hAnsi="Arial Narrow"/>
          <w:snapToGrid w:val="0"/>
          <w:sz w:val="24"/>
        </w:rPr>
        <w:t xml:space="preserve"> </w:t>
      </w:r>
      <w:r w:rsidR="009F580E" w:rsidRPr="00730BA8">
        <w:rPr>
          <w:rFonts w:ascii="Arial Narrow" w:hAnsi="Arial Narrow"/>
          <w:snapToGrid w:val="0"/>
          <w:sz w:val="24"/>
        </w:rPr>
        <w:t>critical incidents</w:t>
      </w:r>
      <w:r w:rsidR="004D59EC" w:rsidRPr="00730BA8">
        <w:rPr>
          <w:rFonts w:ascii="Arial Narrow" w:hAnsi="Arial Narrow"/>
          <w:snapToGrid w:val="0"/>
          <w:sz w:val="24"/>
        </w:rPr>
        <w:t>,</w:t>
      </w:r>
      <w:r w:rsidR="009F580E" w:rsidRPr="00730BA8">
        <w:rPr>
          <w:rFonts w:ascii="Arial Narrow" w:hAnsi="Arial Narrow"/>
          <w:snapToGrid w:val="0"/>
          <w:sz w:val="24"/>
        </w:rPr>
        <w:t xml:space="preserve"> critical occurrences</w:t>
      </w:r>
      <w:r w:rsidR="004D59EC" w:rsidRPr="00730BA8">
        <w:rPr>
          <w:rFonts w:ascii="Arial Narrow" w:hAnsi="Arial Narrow"/>
          <w:snapToGrid w:val="0"/>
          <w:sz w:val="24"/>
        </w:rPr>
        <w:t>,</w:t>
      </w:r>
      <w:r w:rsidR="004644F6" w:rsidRPr="00730BA8">
        <w:rPr>
          <w:rFonts w:ascii="Arial Narrow" w:hAnsi="Arial Narrow"/>
          <w:snapToGrid w:val="0"/>
          <w:sz w:val="24"/>
        </w:rPr>
        <w:t xml:space="preserve"> </w:t>
      </w:r>
      <w:r w:rsidR="004D59EC" w:rsidRPr="00730BA8">
        <w:rPr>
          <w:rFonts w:ascii="Arial Narrow" w:hAnsi="Arial Narrow"/>
          <w:snapToGrid w:val="0"/>
          <w:sz w:val="24"/>
        </w:rPr>
        <w:t xml:space="preserve">occurrences and </w:t>
      </w:r>
      <w:r w:rsidR="004644F6" w:rsidRPr="00730BA8">
        <w:rPr>
          <w:rFonts w:ascii="Arial Narrow" w:hAnsi="Arial Narrow"/>
          <w:snapToGrid w:val="0"/>
          <w:sz w:val="24"/>
        </w:rPr>
        <w:t>near misses</w:t>
      </w:r>
      <w:r w:rsidRPr="00730BA8">
        <w:rPr>
          <w:rFonts w:ascii="Arial Narrow" w:hAnsi="Arial Narrow"/>
          <w:snapToGrid w:val="0"/>
          <w:sz w:val="24"/>
        </w:rPr>
        <w:t>.</w:t>
      </w:r>
    </w:p>
    <w:p w:rsidR="00F46E30" w:rsidRDefault="00F46E30" w:rsidP="00F46E30">
      <w:pPr>
        <w:jc w:val="both"/>
        <w:rPr>
          <w:rFonts w:ascii="Arial Narrow" w:hAnsi="Arial Narrow"/>
          <w:snapToGrid w:val="0"/>
          <w:sz w:val="24"/>
        </w:rPr>
      </w:pPr>
    </w:p>
    <w:sectPr w:rsidR="00F46E30" w:rsidSect="00802A0A">
      <w:footerReference w:type="default" r:id="rId8"/>
      <w:pgSz w:w="12242" w:h="15842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4BFA" w:rsidRDefault="00264BFA">
      <w:r>
        <w:separator/>
      </w:r>
    </w:p>
  </w:endnote>
  <w:endnote w:type="continuationSeparator" w:id="0">
    <w:p w:rsidR="00264BFA" w:rsidRDefault="00264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4BFA" w:rsidRPr="00C44DC4" w:rsidRDefault="004C19F9">
    <w:pPr>
      <w:pStyle w:val="Footer"/>
      <w:rPr>
        <w:rFonts w:ascii="Arial Narrow" w:hAnsi="Arial Narrow"/>
        <w:snapToGrid w:val="0"/>
      </w:rPr>
    </w:pPr>
    <w:r>
      <w:rPr>
        <w:rFonts w:ascii="Arial Narrow" w:hAnsi="Arial Narrow"/>
        <w:snapToGrid w:val="0"/>
      </w:rPr>
      <w:t>Executive Limitati</w:t>
    </w:r>
    <w:r w:rsidR="004F0AFA">
      <w:rPr>
        <w:rFonts w:ascii="Arial Narrow" w:hAnsi="Arial Narrow"/>
        <w:snapToGrid w:val="0"/>
      </w:rPr>
      <w:t xml:space="preserve">on (EL-2) Treatment of Clients </w:t>
    </w:r>
    <w:r w:rsidR="003D4F16">
      <w:rPr>
        <w:rFonts w:ascii="Arial Narrow" w:hAnsi="Arial Narrow"/>
        <w:snapToGrid w:val="0"/>
      </w:rPr>
      <w:t>February 28, 2022</w:t>
    </w:r>
  </w:p>
  <w:p w:rsidR="00264BFA" w:rsidRPr="00C44DC4" w:rsidRDefault="00264BFA">
    <w:pPr>
      <w:pStyle w:val="Footer"/>
      <w:rPr>
        <w:rFonts w:ascii="Arial Narrow" w:hAnsi="Arial Narrow"/>
      </w:rPr>
    </w:pPr>
    <w:r w:rsidRPr="00C44DC4">
      <w:rPr>
        <w:rFonts w:ascii="Arial Narrow" w:hAnsi="Arial Narrow"/>
        <w:snapToGrid w:val="0"/>
      </w:rPr>
      <w:t xml:space="preserve">Page </w:t>
    </w:r>
    <w:r w:rsidR="00EF47C3" w:rsidRPr="00C44DC4">
      <w:rPr>
        <w:rFonts w:ascii="Arial Narrow" w:hAnsi="Arial Narrow"/>
        <w:snapToGrid w:val="0"/>
      </w:rPr>
      <w:fldChar w:fldCharType="begin"/>
    </w:r>
    <w:r w:rsidRPr="00C44DC4">
      <w:rPr>
        <w:rFonts w:ascii="Arial Narrow" w:hAnsi="Arial Narrow"/>
        <w:snapToGrid w:val="0"/>
      </w:rPr>
      <w:instrText xml:space="preserve"> PAGE </w:instrText>
    </w:r>
    <w:r w:rsidR="00EF47C3" w:rsidRPr="00C44DC4">
      <w:rPr>
        <w:rFonts w:ascii="Arial Narrow" w:hAnsi="Arial Narrow"/>
        <w:snapToGrid w:val="0"/>
      </w:rPr>
      <w:fldChar w:fldCharType="separate"/>
    </w:r>
    <w:r w:rsidR="006E2CB2">
      <w:rPr>
        <w:rFonts w:ascii="Arial Narrow" w:hAnsi="Arial Narrow"/>
        <w:noProof/>
        <w:snapToGrid w:val="0"/>
      </w:rPr>
      <w:t>1</w:t>
    </w:r>
    <w:r w:rsidR="00EF47C3" w:rsidRPr="00C44DC4">
      <w:rPr>
        <w:rFonts w:ascii="Arial Narrow" w:hAnsi="Arial Narrow"/>
        <w:snapToGrid w:val="0"/>
      </w:rPr>
      <w:fldChar w:fldCharType="end"/>
    </w:r>
    <w:r w:rsidRPr="00C44DC4">
      <w:rPr>
        <w:rFonts w:ascii="Arial Narrow" w:hAnsi="Arial Narrow"/>
        <w:snapToGrid w:val="0"/>
      </w:rPr>
      <w:t xml:space="preserve"> of </w:t>
    </w:r>
    <w:r w:rsidR="00EF47C3" w:rsidRPr="00C44DC4">
      <w:rPr>
        <w:rFonts w:ascii="Arial Narrow" w:hAnsi="Arial Narrow"/>
        <w:snapToGrid w:val="0"/>
      </w:rPr>
      <w:fldChar w:fldCharType="begin"/>
    </w:r>
    <w:r w:rsidRPr="00C44DC4">
      <w:rPr>
        <w:rFonts w:ascii="Arial Narrow" w:hAnsi="Arial Narrow"/>
        <w:snapToGrid w:val="0"/>
      </w:rPr>
      <w:instrText xml:space="preserve"> NUMPAGES </w:instrText>
    </w:r>
    <w:r w:rsidR="00EF47C3" w:rsidRPr="00C44DC4">
      <w:rPr>
        <w:rFonts w:ascii="Arial Narrow" w:hAnsi="Arial Narrow"/>
        <w:snapToGrid w:val="0"/>
      </w:rPr>
      <w:fldChar w:fldCharType="separate"/>
    </w:r>
    <w:r w:rsidR="006E2CB2">
      <w:rPr>
        <w:rFonts w:ascii="Arial Narrow" w:hAnsi="Arial Narrow"/>
        <w:noProof/>
        <w:snapToGrid w:val="0"/>
      </w:rPr>
      <w:t>2</w:t>
    </w:r>
    <w:r w:rsidR="00EF47C3" w:rsidRPr="00C44DC4">
      <w:rPr>
        <w:rFonts w:ascii="Arial Narrow" w:hAnsi="Arial Narrow"/>
        <w:snapToGrid w:val="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4BFA" w:rsidRDefault="00264BFA">
      <w:r>
        <w:separator/>
      </w:r>
    </w:p>
  </w:footnote>
  <w:footnote w:type="continuationSeparator" w:id="0">
    <w:p w:rsidR="00264BFA" w:rsidRDefault="00264B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3F38E6"/>
    <w:multiLevelType w:val="multilevel"/>
    <w:tmpl w:val="3C2261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6CD32EE9"/>
    <w:multiLevelType w:val="multilevel"/>
    <w:tmpl w:val="3C2261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IPSpeechSession$" w:val="FALSE"/>
    <w:docVar w:name="IPSpeechSessionSaved$" w:val="FALSE"/>
  </w:docVars>
  <w:rsids>
    <w:rsidRoot w:val="003D4C85"/>
    <w:rsid w:val="00037A75"/>
    <w:rsid w:val="00046C16"/>
    <w:rsid w:val="00047371"/>
    <w:rsid w:val="00054112"/>
    <w:rsid w:val="000560C3"/>
    <w:rsid w:val="0006755F"/>
    <w:rsid w:val="00086056"/>
    <w:rsid w:val="0008632E"/>
    <w:rsid w:val="00087FCD"/>
    <w:rsid w:val="000A051A"/>
    <w:rsid w:val="000A48BD"/>
    <w:rsid w:val="00177C9A"/>
    <w:rsid w:val="001C2A5D"/>
    <w:rsid w:val="00253C1C"/>
    <w:rsid w:val="00264BFA"/>
    <w:rsid w:val="00271218"/>
    <w:rsid w:val="002807C5"/>
    <w:rsid w:val="002B19A8"/>
    <w:rsid w:val="002C78BE"/>
    <w:rsid w:val="002F347D"/>
    <w:rsid w:val="003538F3"/>
    <w:rsid w:val="00366E69"/>
    <w:rsid w:val="003D4C85"/>
    <w:rsid w:val="003D4F16"/>
    <w:rsid w:val="00410B34"/>
    <w:rsid w:val="00420A7C"/>
    <w:rsid w:val="004644F6"/>
    <w:rsid w:val="00480763"/>
    <w:rsid w:val="00487AD9"/>
    <w:rsid w:val="004950D3"/>
    <w:rsid w:val="004C19F9"/>
    <w:rsid w:val="004C5BBD"/>
    <w:rsid w:val="004D59EC"/>
    <w:rsid w:val="004D695C"/>
    <w:rsid w:val="004F0AFA"/>
    <w:rsid w:val="00545709"/>
    <w:rsid w:val="005951B6"/>
    <w:rsid w:val="005E386E"/>
    <w:rsid w:val="00607338"/>
    <w:rsid w:val="00656448"/>
    <w:rsid w:val="00684DE2"/>
    <w:rsid w:val="006A6C9B"/>
    <w:rsid w:val="006E2CB2"/>
    <w:rsid w:val="006F7EA0"/>
    <w:rsid w:val="00730BA8"/>
    <w:rsid w:val="00745698"/>
    <w:rsid w:val="007814A4"/>
    <w:rsid w:val="00795614"/>
    <w:rsid w:val="007A0D37"/>
    <w:rsid w:val="007C20C4"/>
    <w:rsid w:val="007D6B04"/>
    <w:rsid w:val="00802A0A"/>
    <w:rsid w:val="00824A56"/>
    <w:rsid w:val="008831D0"/>
    <w:rsid w:val="00896DD6"/>
    <w:rsid w:val="008B6C24"/>
    <w:rsid w:val="00910FD3"/>
    <w:rsid w:val="00953352"/>
    <w:rsid w:val="009A5C45"/>
    <w:rsid w:val="009D1336"/>
    <w:rsid w:val="009D4DAD"/>
    <w:rsid w:val="009E0555"/>
    <w:rsid w:val="009F580E"/>
    <w:rsid w:val="00A11236"/>
    <w:rsid w:val="00A70163"/>
    <w:rsid w:val="00A9572B"/>
    <w:rsid w:val="00AC6D55"/>
    <w:rsid w:val="00AD0A41"/>
    <w:rsid w:val="00B04034"/>
    <w:rsid w:val="00B311C8"/>
    <w:rsid w:val="00B57409"/>
    <w:rsid w:val="00BB294F"/>
    <w:rsid w:val="00C44DC4"/>
    <w:rsid w:val="00C54AFD"/>
    <w:rsid w:val="00CB18EA"/>
    <w:rsid w:val="00CB6D36"/>
    <w:rsid w:val="00CD0D46"/>
    <w:rsid w:val="00CD2BDB"/>
    <w:rsid w:val="00CF3F67"/>
    <w:rsid w:val="00D20828"/>
    <w:rsid w:val="00DF7FE8"/>
    <w:rsid w:val="00E43E2D"/>
    <w:rsid w:val="00EA35D9"/>
    <w:rsid w:val="00ED448A"/>
    <w:rsid w:val="00EF47C3"/>
    <w:rsid w:val="00F13B46"/>
    <w:rsid w:val="00F46E30"/>
    <w:rsid w:val="00F54EB8"/>
    <w:rsid w:val="00FA564E"/>
    <w:rsid w:val="00FF5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4:docId w14:val="38E7AB0F"/>
  <w15:docId w15:val="{851459EA-F23E-43E5-89DC-0AC303B67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B6D36"/>
    <w:rPr>
      <w:lang w:val="en-US" w:eastAsia="en-US"/>
    </w:rPr>
  </w:style>
  <w:style w:type="paragraph" w:styleId="Heading1">
    <w:name w:val="heading 1"/>
    <w:basedOn w:val="Normal"/>
    <w:next w:val="Normal"/>
    <w:qFormat/>
    <w:rsid w:val="00CB6D36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CB6D36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CB6D36"/>
    <w:pPr>
      <w:keepNext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CB6D36"/>
    <w:pPr>
      <w:keepNext/>
      <w:ind w:left="720" w:firstLine="720"/>
      <w:jc w:val="both"/>
      <w:outlineLvl w:val="3"/>
    </w:pPr>
    <w:rPr>
      <w:rFonts w:ascii="Arial" w:hAnsi="Arial"/>
      <w:b/>
      <w:cap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B6D3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B6D36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rsid w:val="00CB6D36"/>
    <w:pPr>
      <w:jc w:val="both"/>
    </w:pPr>
    <w:rPr>
      <w:b/>
      <w:sz w:val="24"/>
    </w:rPr>
  </w:style>
  <w:style w:type="table" w:styleId="TableGrid">
    <w:name w:val="Table Grid"/>
    <w:basedOn w:val="TableNormal"/>
    <w:rsid w:val="00F46E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CD2B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D2BDB"/>
    <w:rPr>
      <w:rFonts w:ascii="Tahoma" w:hAnsi="Tahoma" w:cs="Tahoma"/>
      <w:sz w:val="16"/>
      <w:szCs w:val="16"/>
      <w:lang w:val="en-US" w:eastAsia="en-US"/>
    </w:rPr>
  </w:style>
  <w:style w:type="paragraph" w:styleId="BodyText2">
    <w:name w:val="Body Text 2"/>
    <w:basedOn w:val="Normal"/>
    <w:link w:val="BodyText2Char"/>
    <w:rsid w:val="00CD2BDB"/>
    <w:rPr>
      <w:i/>
      <w:sz w:val="28"/>
    </w:rPr>
  </w:style>
  <w:style w:type="character" w:customStyle="1" w:styleId="BodyText2Char">
    <w:name w:val="Body Text 2 Char"/>
    <w:basedOn w:val="DefaultParagraphFont"/>
    <w:link w:val="BodyText2"/>
    <w:rsid w:val="00CD2BDB"/>
    <w:rPr>
      <w:i/>
      <w:sz w:val="28"/>
      <w:lang w:val="en-US" w:eastAsia="en-US"/>
    </w:rPr>
  </w:style>
  <w:style w:type="paragraph" w:styleId="ListParagraph">
    <w:name w:val="List Paragraph"/>
    <w:basedOn w:val="Normal"/>
    <w:uiPriority w:val="34"/>
    <w:qFormat/>
    <w:rsid w:val="002B19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Office\Dict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Dictdoc.dot</Template>
  <TotalTime>12</TotalTime>
  <Pages>2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Regional Health Authority – Central Manitoba Inc</vt:lpstr>
    </vt:vector>
  </TitlesOfParts>
  <Company>RHA</Company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Regional Health Authority – Central Manitoba Inc</dc:title>
  <dc:creator>Carol P. Garnham</dc:creator>
  <cp:lastModifiedBy>Lyndsay Olson</cp:lastModifiedBy>
  <cp:revision>9</cp:revision>
  <cp:lastPrinted>2016-07-12T21:26:00Z</cp:lastPrinted>
  <dcterms:created xsi:type="dcterms:W3CDTF">2015-12-29T21:06:00Z</dcterms:created>
  <dcterms:modified xsi:type="dcterms:W3CDTF">2022-05-02T16:18:00Z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-429487819</vt:i4>
  </property>
  <property fmtid="{D5CDD505-2E9C-101B-9397-08002B2CF9AE}" pid="3" name="_NewReviewCycle">
    <vt:lpwstr/>
  </property>
  <property fmtid="{D5CDD505-2E9C-101B-9397-08002B2CF9AE}" pid="4" name="_EmailSubject">
    <vt:lpwstr>Revised Els 1 to 10 for Policy Review ctee</vt:lpwstr>
  </property>
  <property fmtid="{D5CDD505-2E9C-101B-9397-08002B2CF9AE}" pid="5" name="_AuthorEmail">
    <vt:lpwstr>clahaie@rha-central.mb.ca</vt:lpwstr>
  </property>
  <property fmtid="{D5CDD505-2E9C-101B-9397-08002B2CF9AE}" pid="6" name="_AuthorEmailDisplayName">
    <vt:lpwstr>Claudette Lahaie</vt:lpwstr>
  </property>
  <property fmtid="{D5CDD505-2E9C-101B-9397-08002B2CF9AE}" pid="7" name="_PreviousAdHocReviewCycleID">
    <vt:i4>-1095895122</vt:i4>
  </property>
  <property fmtid="{D5CDD505-2E9C-101B-9397-08002B2CF9AE}" pid="8" name="_ReviewingToolsShownOnce">
    <vt:lpwstr/>
  </property>
</Properties>
</file>